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A83F" w14:textId="2FA31E03" w:rsidR="00894D2A" w:rsidRDefault="009452D8" w:rsidP="0080118E">
      <w:pPr>
        <w:jc w:val="both"/>
      </w:pPr>
      <w:r w:rsidRPr="00D34DBC">
        <w:rPr>
          <w:b/>
          <w:bCs/>
        </w:rPr>
        <w:t>Title</w:t>
      </w:r>
      <w:r w:rsidRPr="00857BA4">
        <w:rPr>
          <w:b/>
          <w:bCs/>
        </w:rPr>
        <w:t>:</w:t>
      </w:r>
      <w:r w:rsidRPr="00857BA4">
        <w:t xml:space="preserve"> </w:t>
      </w:r>
      <w:r w:rsidR="00CA12F2" w:rsidRPr="00857BA4">
        <w:t xml:space="preserve">Assessing the potential for pressure-sensing, </w:t>
      </w:r>
      <w:r w:rsidR="00A171AB" w:rsidRPr="00857BA4">
        <w:t xml:space="preserve">connected-health technology </w:t>
      </w:r>
      <w:r w:rsidR="00CA12F2" w:rsidRPr="00857BA4">
        <w:t>to improve implementation of compression therapy.</w:t>
      </w:r>
    </w:p>
    <w:p w14:paraId="11C8655F" w14:textId="38E5A5D7" w:rsidR="004A50EC" w:rsidRDefault="004A50EC" w:rsidP="009452D8">
      <w:r w:rsidRPr="004A50EC">
        <w:rPr>
          <w:b/>
          <w:bCs/>
        </w:rPr>
        <w:t>Category:</w:t>
      </w:r>
      <w:r>
        <w:t xml:space="preserve"> Innovations</w:t>
      </w:r>
    </w:p>
    <w:p w14:paraId="60FFB268" w14:textId="36027A4B" w:rsidR="009452D8" w:rsidRPr="0004463D" w:rsidRDefault="009452D8" w:rsidP="009452D8">
      <w:r w:rsidRPr="00D34DBC">
        <w:rPr>
          <w:b/>
          <w:bCs/>
        </w:rPr>
        <w:t>Authors:</w:t>
      </w:r>
      <w:r w:rsidRPr="009452D8">
        <w:t xml:space="preserve"> Andrew R. Cameron PhD</w:t>
      </w:r>
      <w:r w:rsidRPr="009452D8">
        <w:rPr>
          <w:vertAlign w:val="superscript"/>
        </w:rPr>
        <w:t>1</w:t>
      </w:r>
      <w:r w:rsidR="0004463D">
        <w:t xml:space="preserve">, </w:t>
      </w:r>
      <w:r w:rsidR="0004463D" w:rsidRPr="009452D8">
        <w:t>Darren Burke PhD</w:t>
      </w:r>
      <w:r w:rsidR="0004463D" w:rsidRPr="009452D8">
        <w:rPr>
          <w:vertAlign w:val="superscript"/>
        </w:rPr>
        <w:t>1</w:t>
      </w:r>
    </w:p>
    <w:p w14:paraId="7AAECED5" w14:textId="4F89375E" w:rsidR="009452D8" w:rsidRDefault="009452D8" w:rsidP="009452D8">
      <w:r w:rsidRPr="00D34DBC">
        <w:rPr>
          <w:b/>
          <w:bCs/>
        </w:rPr>
        <w:t>Presenting author (age):</w:t>
      </w:r>
      <w:r>
        <w:t xml:space="preserve"> </w:t>
      </w:r>
      <w:r w:rsidR="0004463D">
        <w:t>Andrew Cameron</w:t>
      </w:r>
      <w:r>
        <w:t xml:space="preserve"> (</w:t>
      </w:r>
      <w:r w:rsidR="0004463D">
        <w:t>3</w:t>
      </w:r>
      <w:r w:rsidR="004A50EC">
        <w:t>8</w:t>
      </w:r>
      <w:r>
        <w:t>)</w:t>
      </w:r>
    </w:p>
    <w:p w14:paraId="3AB773D8" w14:textId="323EB4F0" w:rsidR="009452D8" w:rsidRPr="00D34DBC" w:rsidRDefault="009452D8" w:rsidP="009452D8">
      <w:pPr>
        <w:rPr>
          <w:b/>
          <w:bCs/>
        </w:rPr>
      </w:pPr>
      <w:r w:rsidRPr="00D34DBC">
        <w:rPr>
          <w:b/>
          <w:bCs/>
        </w:rPr>
        <w:t xml:space="preserve">Affiliations: </w:t>
      </w:r>
    </w:p>
    <w:p w14:paraId="5A6BE321" w14:textId="3B2B264B" w:rsidR="009452D8" w:rsidRDefault="009452D8" w:rsidP="00E33A84">
      <w:pPr>
        <w:pStyle w:val="ListParagraph"/>
        <w:numPr>
          <w:ilvl w:val="0"/>
          <w:numId w:val="2"/>
        </w:numPr>
      </w:pPr>
      <w:r>
        <w:t>FeelTect Limited (start-up company)</w:t>
      </w:r>
    </w:p>
    <w:p w14:paraId="0D6911A6" w14:textId="17797D0A" w:rsidR="00E33A84" w:rsidRDefault="00E33A84" w:rsidP="00CF24B4">
      <w:r w:rsidRPr="00D34DBC">
        <w:rPr>
          <w:b/>
          <w:bCs/>
        </w:rPr>
        <w:t>Country of residence of authors:</w:t>
      </w:r>
      <w:r>
        <w:t xml:space="preserve"> Ireland</w:t>
      </w:r>
    </w:p>
    <w:p w14:paraId="2ABE9824" w14:textId="36B5328D" w:rsidR="004A50EC" w:rsidRDefault="004A50EC" w:rsidP="00CF24B4">
      <w:r w:rsidRPr="004A50EC">
        <w:rPr>
          <w:b/>
          <w:bCs/>
        </w:rPr>
        <w:t>ICC Presentation History:</w:t>
      </w:r>
      <w:r>
        <w:t xml:space="preserve"> Has presented at previous ICC meetings</w:t>
      </w:r>
    </w:p>
    <w:p w14:paraId="6061280F" w14:textId="70728A2F" w:rsidR="00503E10" w:rsidRDefault="00503E10" w:rsidP="00CF24B4">
      <w:r w:rsidRPr="00503E10">
        <w:rPr>
          <w:b/>
          <w:bCs/>
        </w:rPr>
        <w:t>Preferred mode of presentation:</w:t>
      </w:r>
      <w:r>
        <w:t xml:space="preserve"> Oral contribution</w:t>
      </w:r>
    </w:p>
    <w:p w14:paraId="752C25EE" w14:textId="77777777" w:rsidR="00503E10" w:rsidRDefault="00503E10" w:rsidP="00CF24B4"/>
    <w:p w14:paraId="56F71190" w14:textId="2769BA6E" w:rsidR="00E33A84" w:rsidRPr="00BF0A21" w:rsidRDefault="00E33A84" w:rsidP="00CF24B4">
      <w:pPr>
        <w:rPr>
          <w:b/>
          <w:bCs/>
          <w:u w:val="single"/>
        </w:rPr>
      </w:pPr>
      <w:r w:rsidRPr="00BF0A21">
        <w:rPr>
          <w:b/>
          <w:bCs/>
          <w:u w:val="single"/>
        </w:rPr>
        <w:t>Abstract</w:t>
      </w:r>
    </w:p>
    <w:p w14:paraId="54FC0600" w14:textId="64380764" w:rsidR="003158E9" w:rsidRPr="00572ED0" w:rsidRDefault="003158E9" w:rsidP="0080118E">
      <w:pPr>
        <w:jc w:val="both"/>
      </w:pPr>
      <w:r>
        <w:rPr>
          <w:b/>
          <w:bCs/>
        </w:rPr>
        <w:t xml:space="preserve">Introduction: </w:t>
      </w:r>
      <w:r w:rsidR="006D22A0">
        <w:t>M</w:t>
      </w:r>
      <w:r w:rsidR="00F726A2">
        <w:t>onitor</w:t>
      </w:r>
      <w:r w:rsidR="006D22A0">
        <w:t>ing</w:t>
      </w:r>
      <w:r w:rsidR="00572ED0">
        <w:t xml:space="preserve"> </w:t>
      </w:r>
      <w:r w:rsidR="00E72C80">
        <w:t>interface pressure during compression therapy</w:t>
      </w:r>
      <w:r w:rsidR="006D22A0">
        <w:t xml:space="preserve"> is </w:t>
      </w:r>
      <w:r w:rsidR="00572ED0">
        <w:t>required</w:t>
      </w:r>
      <w:r w:rsidR="006D22A0">
        <w:t xml:space="preserve"> to</w:t>
      </w:r>
      <w:r w:rsidR="00E72C80">
        <w:t xml:space="preserve"> ensure safe and efficacious </w:t>
      </w:r>
      <w:r w:rsidR="00203F55">
        <w:t>treatment</w:t>
      </w:r>
      <w:r w:rsidR="00E72C80">
        <w:t xml:space="preserve"> </w:t>
      </w:r>
      <w:r w:rsidR="006D22A0">
        <w:t>[1, 2]</w:t>
      </w:r>
      <w:r w:rsidR="00E72C80">
        <w:t>. Th</w:t>
      </w:r>
      <w:r w:rsidR="006D22A0">
        <w:t>is</w:t>
      </w:r>
      <w:r w:rsidR="00E72C80">
        <w:t xml:space="preserve"> work present</w:t>
      </w:r>
      <w:r w:rsidR="00CC1FDD">
        <w:t>s</w:t>
      </w:r>
      <w:r w:rsidR="00E72C80">
        <w:t xml:space="preserve"> the results </w:t>
      </w:r>
      <w:r w:rsidR="00206D2A">
        <w:t xml:space="preserve">from early usability and functionality </w:t>
      </w:r>
      <w:r w:rsidR="00555BEF">
        <w:t>assessments</w:t>
      </w:r>
      <w:r w:rsidR="00CC1FDD">
        <w:t xml:space="preserve"> </w:t>
      </w:r>
      <w:r w:rsidR="00615058">
        <w:t xml:space="preserve">of a connected-health technology for continuous monitoring of compression therapy. </w:t>
      </w:r>
      <w:r w:rsidR="00AC0729">
        <w:t xml:space="preserve">The work examines how pressure monitoring can potentially impact a) treatment regimens, b) self-management, </w:t>
      </w:r>
      <w:r w:rsidR="00F70889">
        <w:t xml:space="preserve">and </w:t>
      </w:r>
      <w:r w:rsidR="00AC0729">
        <w:t xml:space="preserve">c) assessment of performance metrics during compression therapy. </w:t>
      </w:r>
    </w:p>
    <w:p w14:paraId="08C99F21" w14:textId="77777777" w:rsidR="00F70889" w:rsidRDefault="003158E9" w:rsidP="0080118E">
      <w:pPr>
        <w:jc w:val="both"/>
      </w:pPr>
      <w:r>
        <w:rPr>
          <w:b/>
          <w:bCs/>
        </w:rPr>
        <w:t>Methods:</w:t>
      </w:r>
      <w:r w:rsidR="00C31E71">
        <w:rPr>
          <w:b/>
          <w:bCs/>
        </w:rPr>
        <w:t xml:space="preserve"> </w:t>
      </w:r>
      <w:r w:rsidR="00206D2A">
        <w:t xml:space="preserve">Device calibration </w:t>
      </w:r>
      <w:r w:rsidR="000943C2">
        <w:t>includ</w:t>
      </w:r>
      <w:r w:rsidR="003E6FC5">
        <w:t>ed</w:t>
      </w:r>
      <w:r w:rsidR="000943C2">
        <w:t xml:space="preserve"> </w:t>
      </w:r>
      <w:r w:rsidR="003E6FC5">
        <w:t xml:space="preserve">winding </w:t>
      </w:r>
      <w:r w:rsidR="006D22A0">
        <w:t xml:space="preserve">weighted </w:t>
      </w:r>
      <w:r w:rsidR="003E6FC5">
        <w:t>bandages around</w:t>
      </w:r>
      <w:r w:rsidR="000943C2">
        <w:t xml:space="preserve"> a series of cylinders of different circumferences </w:t>
      </w:r>
      <w:r w:rsidR="006D22A0">
        <w:t xml:space="preserve">and </w:t>
      </w:r>
      <w:r w:rsidR="000943C2">
        <w:t xml:space="preserve">generating known </w:t>
      </w:r>
      <w:r w:rsidR="003E6FC5">
        <w:t xml:space="preserve">interface </w:t>
      </w:r>
      <w:r w:rsidR="000943C2">
        <w:t xml:space="preserve">pressures in accordance with Laplace’s Law. </w:t>
      </w:r>
    </w:p>
    <w:p w14:paraId="3F918326" w14:textId="5DF421FA" w:rsidR="000943C2" w:rsidRPr="00C31E71" w:rsidRDefault="00F70889" w:rsidP="0080118E">
      <w:pPr>
        <w:jc w:val="both"/>
        <w:rPr>
          <w:b/>
          <w:bCs/>
        </w:rPr>
      </w:pPr>
      <w:r>
        <w:t>Treatment regimen assessment (TRA):</w:t>
      </w:r>
      <w:r w:rsidR="00572ED0">
        <w:t xml:space="preserve"> a</w:t>
      </w:r>
      <w:r w:rsidR="00555BEF">
        <w:t xml:space="preserve"> </w:t>
      </w:r>
      <w:r w:rsidR="00E52EC1">
        <w:t>2-layer</w:t>
      </w:r>
      <w:r w:rsidR="00016ED9">
        <w:t xml:space="preserve"> compression bandage system</w:t>
      </w:r>
      <w:r w:rsidR="003A733E">
        <w:t xml:space="preserve"> (2LCS)</w:t>
      </w:r>
      <w:r w:rsidR="000943C2">
        <w:t xml:space="preserve"> was applied to the leg</w:t>
      </w:r>
      <w:r w:rsidR="00555BEF">
        <w:t xml:space="preserve">s of healthy volunteers </w:t>
      </w:r>
      <w:r w:rsidR="0007673F">
        <w:t>with</w:t>
      </w:r>
      <w:r w:rsidR="00555BEF">
        <w:t xml:space="preserve"> </w:t>
      </w:r>
      <w:r w:rsidR="00924D85">
        <w:t>compression assessed</w:t>
      </w:r>
      <w:r w:rsidR="000943C2">
        <w:t xml:space="preserve"> </w:t>
      </w:r>
      <w:r w:rsidR="00E3781B">
        <w:t>over</w:t>
      </w:r>
      <w:r w:rsidR="005E13B9">
        <w:t xml:space="preserve"> </w:t>
      </w:r>
      <w:r w:rsidR="003910AF">
        <w:t>2</w:t>
      </w:r>
      <w:r w:rsidR="00E52EC1">
        <w:t>6-hour</w:t>
      </w:r>
      <w:r w:rsidR="005E13B9">
        <w:t xml:space="preserve"> time period</w:t>
      </w:r>
      <w:r>
        <w:t>s</w:t>
      </w:r>
      <w:r w:rsidR="0007673F">
        <w:t>.</w:t>
      </w:r>
    </w:p>
    <w:p w14:paraId="646462C7" w14:textId="2F9A7C3B" w:rsidR="000943C2" w:rsidRDefault="00F70889" w:rsidP="0080118E">
      <w:pPr>
        <w:jc w:val="both"/>
      </w:pPr>
      <w:r>
        <w:t>Self-management assessment (SMA):</w:t>
      </w:r>
      <w:r w:rsidR="00572ED0">
        <w:t xml:space="preserve"> g</w:t>
      </w:r>
      <w:r w:rsidR="00BF5CAE">
        <w:t>uided and unguided</w:t>
      </w:r>
      <w:r w:rsidR="00016ED9">
        <w:t xml:space="preserve"> </w:t>
      </w:r>
      <w:r w:rsidR="00C31E71">
        <w:t>compression was applied to healthy volunteers by 8 community nurses</w:t>
      </w:r>
      <w:r w:rsidR="00D75980">
        <w:t>, targeting pressure ranges of 25-35mmHg, 35-45mmHg and 35-45mmHg at the C, B1 and B positions, respectively</w:t>
      </w:r>
      <w:r w:rsidR="00572ED0">
        <w:t xml:space="preserve">. </w:t>
      </w:r>
      <w:r>
        <w:t xml:space="preserve">Comparatively, the </w:t>
      </w:r>
      <w:r w:rsidR="00C31E71">
        <w:t xml:space="preserve">ability for nurses to </w:t>
      </w:r>
      <w:r w:rsidR="00BF5CAE">
        <w:t xml:space="preserve">remotely </w:t>
      </w:r>
      <w:r w:rsidR="00C31E71">
        <w:t xml:space="preserve">guide </w:t>
      </w:r>
      <w:r w:rsidR="00572ED0">
        <w:t xml:space="preserve">a </w:t>
      </w:r>
      <w:r w:rsidR="00BF5CAE">
        <w:t xml:space="preserve">healthy volunteer to apply </w:t>
      </w:r>
      <w:r w:rsidR="00A32A7A">
        <w:t xml:space="preserve">targeted </w:t>
      </w:r>
      <w:r w:rsidR="00BF5CAE">
        <w:t xml:space="preserve">pressure was </w:t>
      </w:r>
      <w:r w:rsidR="009D4E95">
        <w:t>assessed</w:t>
      </w:r>
      <w:r w:rsidR="00BF5CAE">
        <w:t xml:space="preserve"> using adjustable Velcro wraps (AVW)</w:t>
      </w:r>
      <w:r w:rsidR="009D4E95">
        <w:t>.</w:t>
      </w:r>
    </w:p>
    <w:p w14:paraId="6C44756D" w14:textId="7574F3B1" w:rsidR="00952E57" w:rsidRDefault="00F70889" w:rsidP="0080118E">
      <w:pPr>
        <w:jc w:val="both"/>
        <w:rPr>
          <w:b/>
          <w:bCs/>
        </w:rPr>
      </w:pPr>
      <w:r>
        <w:t xml:space="preserve">Performance metric assessment (PMA): remotely monitored data was processed for the purposes of </w:t>
      </w:r>
      <w:r w:rsidR="00952E57">
        <w:t xml:space="preserve">quantifying the </w:t>
      </w:r>
      <w:r>
        <w:t xml:space="preserve">performance </w:t>
      </w:r>
      <w:r w:rsidR="00952E57">
        <w:t>of compression therapy.</w:t>
      </w:r>
    </w:p>
    <w:p w14:paraId="7A59BADB" w14:textId="21D80418" w:rsidR="005F21A1" w:rsidRDefault="003158E9" w:rsidP="0080118E">
      <w:pPr>
        <w:jc w:val="both"/>
      </w:pPr>
      <w:r>
        <w:rPr>
          <w:b/>
          <w:bCs/>
        </w:rPr>
        <w:t>Results:</w:t>
      </w:r>
      <w:r w:rsidR="00016ED9">
        <w:rPr>
          <w:b/>
          <w:bCs/>
        </w:rPr>
        <w:t xml:space="preserve"> </w:t>
      </w:r>
      <w:r w:rsidR="00F70889">
        <w:t>TRA:</w:t>
      </w:r>
      <w:r w:rsidR="002D4F7E">
        <w:t xml:space="preserve"> average </w:t>
      </w:r>
      <w:r w:rsidR="00891B35">
        <w:t xml:space="preserve">pressure drops of </w:t>
      </w:r>
      <w:r w:rsidR="00FD25CB">
        <w:t>2</w:t>
      </w:r>
      <w:r w:rsidR="003910AF">
        <w:t>0</w:t>
      </w:r>
      <w:r w:rsidR="00FD25CB">
        <w:t>.5</w:t>
      </w:r>
      <w:r w:rsidR="005F21A1">
        <w:t xml:space="preserve"> mmHg (</w:t>
      </w:r>
      <w:r w:rsidR="005F21A1">
        <w:rPr>
          <w:rFonts w:cstheme="minorHAnsi"/>
        </w:rPr>
        <w:t>±</w:t>
      </w:r>
      <w:r w:rsidR="003910AF">
        <w:t>4.8</w:t>
      </w:r>
      <w:r w:rsidR="005F21A1">
        <w:t xml:space="preserve"> mmHg), </w:t>
      </w:r>
      <w:r w:rsidR="003910AF">
        <w:t>21.5</w:t>
      </w:r>
      <w:r w:rsidR="005F21A1">
        <w:t xml:space="preserve"> mmHg (</w:t>
      </w:r>
      <w:r w:rsidR="005F21A1">
        <w:rPr>
          <w:rFonts w:cstheme="minorHAnsi"/>
        </w:rPr>
        <w:t>±</w:t>
      </w:r>
      <w:r w:rsidR="003910AF">
        <w:t>9</w:t>
      </w:r>
      <w:r w:rsidR="00FD25CB">
        <w:t>.0</w:t>
      </w:r>
      <w:r w:rsidR="005F21A1">
        <w:t xml:space="preserve"> mmHg) and </w:t>
      </w:r>
      <w:r w:rsidR="003910AF">
        <w:t>19.8</w:t>
      </w:r>
      <w:r w:rsidR="005F21A1">
        <w:t xml:space="preserve"> mmHg (</w:t>
      </w:r>
      <w:r w:rsidR="005F21A1">
        <w:rPr>
          <w:rFonts w:cstheme="minorHAnsi"/>
        </w:rPr>
        <w:t>±</w:t>
      </w:r>
      <w:r w:rsidR="003910AF">
        <w:t>4.8</w:t>
      </w:r>
      <w:r w:rsidR="005F21A1">
        <w:t xml:space="preserve"> mmHg) were recorded at the C, B1 and B positions after 6 hours of continuous wearing of the </w:t>
      </w:r>
      <w:r w:rsidR="00F43B28">
        <w:t>2LCS</w:t>
      </w:r>
      <w:r w:rsidR="00F70889">
        <w:t xml:space="preserve">, which was improved to </w:t>
      </w:r>
      <w:r w:rsidR="00CA12F2">
        <w:t>13.5</w:t>
      </w:r>
      <w:r w:rsidR="00F70889">
        <w:t xml:space="preserve"> mmHg (</w:t>
      </w:r>
      <w:r w:rsidR="00F70889">
        <w:rPr>
          <w:rFonts w:cstheme="minorHAnsi"/>
        </w:rPr>
        <w:t>±</w:t>
      </w:r>
      <w:r w:rsidR="003910AF">
        <w:t>3</w:t>
      </w:r>
      <w:r w:rsidR="00CA12F2">
        <w:t>.5</w:t>
      </w:r>
      <w:r w:rsidR="00F70889">
        <w:t xml:space="preserve"> mmHg), </w:t>
      </w:r>
      <w:r w:rsidR="00CA12F2">
        <w:t>5.0</w:t>
      </w:r>
      <w:r w:rsidR="00F70889">
        <w:t xml:space="preserve"> mmHg (</w:t>
      </w:r>
      <w:r w:rsidR="00F70889">
        <w:rPr>
          <w:rFonts w:cstheme="minorHAnsi"/>
        </w:rPr>
        <w:t>±</w:t>
      </w:r>
      <w:r w:rsidR="003910AF">
        <w:t>5.6</w:t>
      </w:r>
      <w:r w:rsidR="00F70889">
        <w:t xml:space="preserve"> mmHg) and </w:t>
      </w:r>
      <w:r w:rsidR="00CA12F2">
        <w:t>10.5</w:t>
      </w:r>
      <w:r w:rsidR="00F70889">
        <w:t xml:space="preserve"> mmHg (</w:t>
      </w:r>
      <w:r w:rsidR="00F70889">
        <w:rPr>
          <w:rFonts w:cstheme="minorHAnsi"/>
        </w:rPr>
        <w:t>±</w:t>
      </w:r>
      <w:r w:rsidR="00CA12F2">
        <w:t>0.</w:t>
      </w:r>
      <w:r w:rsidR="003910AF">
        <w:t>7</w:t>
      </w:r>
      <w:r w:rsidR="00F70889">
        <w:t xml:space="preserve"> mmHg)</w:t>
      </w:r>
      <w:r w:rsidR="00CA12F2">
        <w:t xml:space="preserve"> for the same period</w:t>
      </w:r>
      <w:r w:rsidR="00F70889">
        <w:t xml:space="preserve"> after reapplication</w:t>
      </w:r>
      <w:r w:rsidR="00FD25CB">
        <w:t xml:space="preserve"> </w:t>
      </w:r>
      <w:r w:rsidR="00CA12F2">
        <w:t>(</w:t>
      </w:r>
      <w:r w:rsidR="00FD25CB">
        <w:t>following 20 hours of compression</w:t>
      </w:r>
      <w:r w:rsidR="00CA12F2">
        <w:t>)</w:t>
      </w:r>
      <w:r w:rsidR="00584082">
        <w:t>.</w:t>
      </w:r>
    </w:p>
    <w:p w14:paraId="233C7D58" w14:textId="134D23B9" w:rsidR="005F21A1" w:rsidRDefault="00FD25CB" w:rsidP="0080118E">
      <w:pPr>
        <w:jc w:val="both"/>
      </w:pPr>
      <w:r>
        <w:t>SMA:</w:t>
      </w:r>
      <w:r w:rsidR="00584082">
        <w:t xml:space="preserve"> nurses </w:t>
      </w:r>
      <w:r w:rsidR="00572ED0">
        <w:t xml:space="preserve">achieved </w:t>
      </w:r>
      <w:r w:rsidR="002D4F7E">
        <w:t xml:space="preserve">targeted pressure application </w:t>
      </w:r>
      <w:r w:rsidR="00D825DF">
        <w:t>17% in the unguided 2LCS group, 46% in the guided 2LCS group</w:t>
      </w:r>
      <w:r w:rsidR="002D4F7E">
        <w:t>,</w:t>
      </w:r>
      <w:r w:rsidR="00D825DF">
        <w:t xml:space="preserve"> and 78% in the remotely guided AVW group.</w:t>
      </w:r>
    </w:p>
    <w:p w14:paraId="42FDB5B4" w14:textId="4FAF4EE2" w:rsidR="00F70889" w:rsidRDefault="00FD25CB" w:rsidP="0080118E">
      <w:pPr>
        <w:jc w:val="both"/>
      </w:pPr>
      <w:r>
        <w:t>TRA:</w:t>
      </w:r>
      <w:r w:rsidR="00F70889">
        <w:t xml:space="preserve"> </w:t>
      </w:r>
      <w:r w:rsidR="00CA12F2">
        <w:t xml:space="preserve">a series of </w:t>
      </w:r>
      <w:r w:rsidR="003910AF">
        <w:t xml:space="preserve">dynamic </w:t>
      </w:r>
      <w:r w:rsidR="00F70889">
        <w:t>metrics</w:t>
      </w:r>
      <w:r w:rsidR="00CA12F2">
        <w:t xml:space="preserve"> were calculated</w:t>
      </w:r>
      <w:r w:rsidR="003910AF">
        <w:t xml:space="preserve"> showing potential differences between compression products</w:t>
      </w:r>
      <w:r w:rsidR="00F70889">
        <w:t>,</w:t>
      </w:r>
      <w:r w:rsidR="003910AF">
        <w:t xml:space="preserve"> with metrics</w:t>
      </w:r>
      <w:r w:rsidR="00F70889">
        <w:t xml:space="preserve"> including </w:t>
      </w:r>
      <w:r w:rsidR="003910AF">
        <w:t xml:space="preserve">parameters such as </w:t>
      </w:r>
      <w:r w:rsidR="00DF2146">
        <w:t>amplitude (</w:t>
      </w:r>
      <w:r w:rsidR="003910AF">
        <w:t xml:space="preserve">related to </w:t>
      </w:r>
      <w:r w:rsidR="00F70889">
        <w:t>SSI</w:t>
      </w:r>
      <w:r w:rsidR="00DF2146">
        <w:t>)</w:t>
      </w:r>
      <w:r>
        <w:t>,</w:t>
      </w:r>
      <w:r w:rsidR="003910AF">
        <w:t xml:space="preserve"> rate (related to speed of fluctuations),</w:t>
      </w:r>
      <w:r w:rsidR="00F70889">
        <w:t xml:space="preserve"> and </w:t>
      </w:r>
      <w:r w:rsidR="003910AF">
        <w:t>magnitude (</w:t>
      </w:r>
      <w:r>
        <w:t xml:space="preserve">average </w:t>
      </w:r>
      <w:r w:rsidR="00F70889">
        <w:t>pressure</w:t>
      </w:r>
      <w:r w:rsidR="003910AF">
        <w:t>)</w:t>
      </w:r>
      <w:r>
        <w:t>.</w:t>
      </w:r>
    </w:p>
    <w:p w14:paraId="49D4C7FD" w14:textId="6976C0A0" w:rsidR="00517BFF" w:rsidRDefault="003158E9" w:rsidP="0080118E">
      <w:pPr>
        <w:jc w:val="both"/>
      </w:pPr>
      <w:r>
        <w:rPr>
          <w:b/>
          <w:bCs/>
        </w:rPr>
        <w:lastRenderedPageBreak/>
        <w:t>Conclusion/discussion:</w:t>
      </w:r>
      <w:r w:rsidR="00D825DF">
        <w:rPr>
          <w:b/>
          <w:bCs/>
        </w:rPr>
        <w:t xml:space="preserve"> </w:t>
      </w:r>
      <w:r w:rsidR="00517BFF">
        <w:t xml:space="preserve">Significant drops in sub-bandage pressure were observed within 6 hours of application of compression, </w:t>
      </w:r>
      <w:r w:rsidR="00FD25CB">
        <w:t>which could potentially be recovered by alerting reapplication</w:t>
      </w:r>
      <w:r w:rsidR="00517BFF">
        <w:t>.</w:t>
      </w:r>
      <w:r w:rsidR="00857BA4">
        <w:t xml:space="preserve"> </w:t>
      </w:r>
      <w:r w:rsidR="00517BFF">
        <w:t>Furthermore, a 4</w:t>
      </w:r>
      <w:r w:rsidR="00CA12F2">
        <w:t xml:space="preserve">X </w:t>
      </w:r>
      <w:r w:rsidR="00517BFF">
        <w:t xml:space="preserve">improvement in the achievement of targeted pressure was achieved using an AVW with remote support versus </w:t>
      </w:r>
      <w:r w:rsidR="00CA12F2">
        <w:t xml:space="preserve">unguided </w:t>
      </w:r>
      <w:r w:rsidR="00517BFF">
        <w:t xml:space="preserve">application of traditional compression therapy. </w:t>
      </w:r>
      <w:r w:rsidR="00CA12F2">
        <w:t>Finally, a series of new metrics were developed for measuring the effectiveness of compression therapy</w:t>
      </w:r>
      <w:r w:rsidR="003910AF">
        <w:t>, showing potential differences in behaviour between compression products</w:t>
      </w:r>
      <w:r w:rsidR="00CA12F2">
        <w:t xml:space="preserve">. </w:t>
      </w:r>
      <w:r w:rsidR="00517BFF">
        <w:t xml:space="preserve">This </w:t>
      </w:r>
      <w:r w:rsidR="00CA12F2">
        <w:t xml:space="preserve">work </w:t>
      </w:r>
      <w:r w:rsidR="00517BFF">
        <w:t xml:space="preserve">demonstrates the potential of a wearable compression monitoring technology to not only highlight deficiencies in care, but also to provide a means of </w:t>
      </w:r>
      <w:r w:rsidR="00CA12F2">
        <w:t xml:space="preserve">supporting actions (e.g. altering compression reapplication and guiding self-management) </w:t>
      </w:r>
      <w:r w:rsidR="00517BFF">
        <w:t>to ameliorate these deficiencies</w:t>
      </w:r>
      <w:r w:rsidR="000E1E3B">
        <w:t>.</w:t>
      </w:r>
      <w:r w:rsidR="00517BFF">
        <w:t xml:space="preserve"> </w:t>
      </w:r>
    </w:p>
    <w:p w14:paraId="145ED4A5" w14:textId="74C44244" w:rsidR="005B7250" w:rsidRDefault="005B7250" w:rsidP="00CF24B4">
      <w:pPr>
        <w:rPr>
          <w:b/>
          <w:bCs/>
        </w:rPr>
      </w:pPr>
    </w:p>
    <w:p w14:paraId="282F1D1F" w14:textId="50AA481C" w:rsidR="00D80077" w:rsidRDefault="00D80077" w:rsidP="00CF24B4">
      <w:pPr>
        <w:rPr>
          <w:b/>
          <w:bCs/>
        </w:rPr>
      </w:pPr>
      <w:r>
        <w:rPr>
          <w:b/>
          <w:bCs/>
        </w:rPr>
        <w:t>References:</w:t>
      </w:r>
    </w:p>
    <w:p w14:paraId="2F9D4792" w14:textId="53FFC8C3" w:rsidR="00D80077" w:rsidRDefault="00D80077" w:rsidP="0080118E">
      <w:pPr>
        <w:jc w:val="both"/>
      </w:pPr>
      <w:r>
        <w:t>[1] Partsch H, Clark M, Bassez S, Benigni JP, Becker F, Blazer V, Caprini J, Cornu-Thenand F, Hafner J, Flour M, Junger M, Moffat C, Neumann HAM. Measurement of lower leg compression in vivo: recommendations for the performance of measurements of interface pressure and stiffness. Dermatol Surg 2006;32:224–33</w:t>
      </w:r>
    </w:p>
    <w:p w14:paraId="16C5C7CB" w14:textId="370EAA05" w:rsidR="00D80077" w:rsidRDefault="00D80077" w:rsidP="0080118E">
      <w:pPr>
        <w:jc w:val="both"/>
      </w:pPr>
      <w:r>
        <w:t xml:space="preserve">[2] </w:t>
      </w:r>
      <w:r w:rsidRPr="00D80077">
        <w:t>Ning, Junjie; Fish, John; Trinh, Felix; Abbas, Jihad; Seiwert, Andrew; Lurie, Fedor (2019). Comparison of three pressure monitors used to measure interface pressure under compression bandages. Phlebology: The Journal of Venous Disease, (), 026835551986217–. doi:10.1177/0268355519862178</w:t>
      </w:r>
    </w:p>
    <w:p w14:paraId="3CB3ACFA" w14:textId="77777777" w:rsidR="00D80077" w:rsidRPr="00D80077" w:rsidRDefault="00D80077" w:rsidP="00CF24B4"/>
    <w:p w14:paraId="359947FD" w14:textId="3DC3FA3B" w:rsidR="005B7250" w:rsidRPr="00D34DBC" w:rsidRDefault="005B7250" w:rsidP="00CF24B4">
      <w:pPr>
        <w:rPr>
          <w:b/>
          <w:bCs/>
        </w:rPr>
      </w:pPr>
      <w:r>
        <w:rPr>
          <w:b/>
          <w:bCs/>
        </w:rPr>
        <w:t>Funding:</w:t>
      </w:r>
    </w:p>
    <w:p w14:paraId="7AC8A0BA" w14:textId="2BFEBE1C" w:rsidR="006E434B" w:rsidRDefault="00F43B28" w:rsidP="0080118E">
      <w:pPr>
        <w:jc w:val="both"/>
      </w:pPr>
      <w:r>
        <w:t xml:space="preserve">Enterprise Ireland, Western Development Commission, </w:t>
      </w:r>
      <w:r w:rsidR="00BB4359">
        <w:t xml:space="preserve">EIT Health, </w:t>
      </w:r>
      <w:r>
        <w:t xml:space="preserve">Health Innovation Hub Ireland, National </w:t>
      </w:r>
      <w:r w:rsidR="00BB4359">
        <w:t>Digital Research Centre, FeelTect Ltd.</w:t>
      </w:r>
      <w:r w:rsidR="00247565">
        <w:t xml:space="preserve"> </w:t>
      </w:r>
    </w:p>
    <w:sectPr w:rsidR="006E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35A"/>
    <w:multiLevelType w:val="hybridMultilevel"/>
    <w:tmpl w:val="23EC80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E678C"/>
    <w:multiLevelType w:val="hybridMultilevel"/>
    <w:tmpl w:val="4D90ECF4"/>
    <w:lvl w:ilvl="0" w:tplc="019C2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DCDA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7CDB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0E1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0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A20B3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D200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F0E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A0FC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0554868">
    <w:abstractNumId w:val="1"/>
  </w:num>
  <w:num w:numId="2" w16cid:durableId="13854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D8"/>
    <w:rsid w:val="00016ED9"/>
    <w:rsid w:val="000204AB"/>
    <w:rsid w:val="0004463D"/>
    <w:rsid w:val="00075C55"/>
    <w:rsid w:val="0007673F"/>
    <w:rsid w:val="0007764F"/>
    <w:rsid w:val="00082D94"/>
    <w:rsid w:val="00084F47"/>
    <w:rsid w:val="00091BC1"/>
    <w:rsid w:val="000943C2"/>
    <w:rsid w:val="000E1E3B"/>
    <w:rsid w:val="00103EB4"/>
    <w:rsid w:val="001A53EA"/>
    <w:rsid w:val="001A7124"/>
    <w:rsid w:val="001E5A19"/>
    <w:rsid w:val="00203F55"/>
    <w:rsid w:val="00206D2A"/>
    <w:rsid w:val="00234816"/>
    <w:rsid w:val="00236368"/>
    <w:rsid w:val="00247565"/>
    <w:rsid w:val="00261993"/>
    <w:rsid w:val="00261BF9"/>
    <w:rsid w:val="002738CC"/>
    <w:rsid w:val="002A49D5"/>
    <w:rsid w:val="002B48B8"/>
    <w:rsid w:val="002D4F7E"/>
    <w:rsid w:val="00301F74"/>
    <w:rsid w:val="003158E9"/>
    <w:rsid w:val="00355E3C"/>
    <w:rsid w:val="003910AF"/>
    <w:rsid w:val="003910EF"/>
    <w:rsid w:val="003A733E"/>
    <w:rsid w:val="003B6218"/>
    <w:rsid w:val="003E6FC5"/>
    <w:rsid w:val="0041142D"/>
    <w:rsid w:val="00477692"/>
    <w:rsid w:val="0049224E"/>
    <w:rsid w:val="004A50EC"/>
    <w:rsid w:val="004F153B"/>
    <w:rsid w:val="00503E10"/>
    <w:rsid w:val="00517BFF"/>
    <w:rsid w:val="00555BEF"/>
    <w:rsid w:val="00572ED0"/>
    <w:rsid w:val="00576377"/>
    <w:rsid w:val="00584082"/>
    <w:rsid w:val="005B7250"/>
    <w:rsid w:val="005E13B9"/>
    <w:rsid w:val="005F21A1"/>
    <w:rsid w:val="006070EC"/>
    <w:rsid w:val="00615058"/>
    <w:rsid w:val="006508E6"/>
    <w:rsid w:val="006A2093"/>
    <w:rsid w:val="006D22A0"/>
    <w:rsid w:val="006D295D"/>
    <w:rsid w:val="006E434B"/>
    <w:rsid w:val="007349F0"/>
    <w:rsid w:val="007659AD"/>
    <w:rsid w:val="007C21AC"/>
    <w:rsid w:val="0080118E"/>
    <w:rsid w:val="00857BA4"/>
    <w:rsid w:val="00882D8E"/>
    <w:rsid w:val="00891B35"/>
    <w:rsid w:val="00894D2A"/>
    <w:rsid w:val="008A41F0"/>
    <w:rsid w:val="008B0F00"/>
    <w:rsid w:val="008B4DD9"/>
    <w:rsid w:val="008F4E11"/>
    <w:rsid w:val="00907F5A"/>
    <w:rsid w:val="0091738E"/>
    <w:rsid w:val="00924D85"/>
    <w:rsid w:val="00935656"/>
    <w:rsid w:val="009452D8"/>
    <w:rsid w:val="00952E57"/>
    <w:rsid w:val="0096429F"/>
    <w:rsid w:val="009D4E95"/>
    <w:rsid w:val="00A171AB"/>
    <w:rsid w:val="00A32A7A"/>
    <w:rsid w:val="00A529C1"/>
    <w:rsid w:val="00A60A27"/>
    <w:rsid w:val="00A76738"/>
    <w:rsid w:val="00A96DBB"/>
    <w:rsid w:val="00AC0729"/>
    <w:rsid w:val="00B43D2E"/>
    <w:rsid w:val="00B5233D"/>
    <w:rsid w:val="00B67DEF"/>
    <w:rsid w:val="00BB4359"/>
    <w:rsid w:val="00BD63A5"/>
    <w:rsid w:val="00BF0A21"/>
    <w:rsid w:val="00BF5CAE"/>
    <w:rsid w:val="00C31E71"/>
    <w:rsid w:val="00C549F6"/>
    <w:rsid w:val="00CA032E"/>
    <w:rsid w:val="00CA12F2"/>
    <w:rsid w:val="00CA48E7"/>
    <w:rsid w:val="00CC1FDD"/>
    <w:rsid w:val="00CF24B4"/>
    <w:rsid w:val="00D23DCE"/>
    <w:rsid w:val="00D34DBC"/>
    <w:rsid w:val="00D75980"/>
    <w:rsid w:val="00D80077"/>
    <w:rsid w:val="00D825DF"/>
    <w:rsid w:val="00D95C7E"/>
    <w:rsid w:val="00DE2FE7"/>
    <w:rsid w:val="00DF2146"/>
    <w:rsid w:val="00E01892"/>
    <w:rsid w:val="00E122B1"/>
    <w:rsid w:val="00E33A84"/>
    <w:rsid w:val="00E3781B"/>
    <w:rsid w:val="00E52EC1"/>
    <w:rsid w:val="00E72C80"/>
    <w:rsid w:val="00ED16EE"/>
    <w:rsid w:val="00EE00CB"/>
    <w:rsid w:val="00EE1875"/>
    <w:rsid w:val="00EF24B8"/>
    <w:rsid w:val="00F043A1"/>
    <w:rsid w:val="00F43B28"/>
    <w:rsid w:val="00F46C42"/>
    <w:rsid w:val="00F70889"/>
    <w:rsid w:val="00F726A2"/>
    <w:rsid w:val="00F84C53"/>
    <w:rsid w:val="00FD25C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A401"/>
  <w15:chartTrackingRefBased/>
  <w15:docId w15:val="{8CF78B59-BEE9-4023-9C05-00C29A5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7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0759-F3D8-4058-ADC1-ED9A50BD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Cameron</dc:creator>
  <cp:keywords/>
  <dc:description/>
  <cp:lastModifiedBy>Andrew Cameron</cp:lastModifiedBy>
  <cp:revision>4</cp:revision>
  <dcterms:created xsi:type="dcterms:W3CDTF">2022-10-27T11:33:00Z</dcterms:created>
  <dcterms:modified xsi:type="dcterms:W3CDTF">2023-05-10T11:09:00Z</dcterms:modified>
</cp:coreProperties>
</file>